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C9" w:rsidRPr="000F5DAD" w:rsidRDefault="00100BC9" w:rsidP="00172D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'C'</w:t>
      </w:r>
      <w:bookmarkStart w:id="0" w:name="_GoBack"/>
      <w:bookmarkEnd w:id="0"/>
    </w:p>
    <w:p w:rsidR="00726CFA" w:rsidRPr="000F5DAD" w:rsidRDefault="00100BC9" w:rsidP="00726CFA">
      <w:pPr>
        <w:spacing w:after="0" w:line="240" w:lineRule="auto"/>
        <w:rPr>
          <w:rFonts w:ascii="Arial" w:hAnsi="Arial" w:cs="Arial"/>
          <w:b/>
          <w:u w:val="single"/>
        </w:rPr>
      </w:pPr>
      <w:r w:rsidRPr="000F5DAD">
        <w:rPr>
          <w:rFonts w:ascii="Arial" w:hAnsi="Arial" w:cs="Arial"/>
          <w:b/>
          <w:u w:val="single"/>
        </w:rPr>
        <w:t>BLACKPOOL AIRPORT ENTERPRISE ZONE – Lead Rob Green</w:t>
      </w:r>
    </w:p>
    <w:p w:rsidR="001E2A6F" w:rsidRPr="000F5DAD" w:rsidRDefault="00100BC9" w:rsidP="00172DE7">
      <w:pPr>
        <w:spacing w:after="0"/>
        <w:jc w:val="both"/>
        <w:rPr>
          <w:rFonts w:ascii="Arial" w:hAnsi="Arial" w:cs="Arial"/>
          <w:b/>
        </w:rPr>
      </w:pPr>
    </w:p>
    <w:p w:rsidR="00651704" w:rsidRDefault="00100BC9" w:rsidP="00172DE7">
      <w:pPr>
        <w:spacing w:after="0"/>
        <w:jc w:val="both"/>
        <w:rPr>
          <w:rFonts w:ascii="Arial" w:hAnsi="Arial" w:cs="Arial"/>
          <w:b/>
        </w:rPr>
      </w:pPr>
      <w:r w:rsidRPr="000F5DAD">
        <w:rPr>
          <w:rFonts w:ascii="Arial" w:hAnsi="Arial" w:cs="Arial"/>
          <w:b/>
        </w:rPr>
        <w:t xml:space="preserve">Background </w:t>
      </w:r>
    </w:p>
    <w:p w:rsidR="00651704" w:rsidRDefault="00100BC9" w:rsidP="00997397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 xml:space="preserve">In April 2016 the Government awarded Enterprise Zone status to the Blackpool Airport site which includes Blackpool International Airport and the surrounding business parks. Blackpool Airport EZ has benefited </w:t>
      </w:r>
      <w:r>
        <w:rPr>
          <w:rFonts w:ascii="Arial" w:hAnsi="Arial" w:cs="Arial"/>
        </w:rPr>
        <w:t xml:space="preserve">from </w:t>
      </w:r>
      <w:r w:rsidRPr="000F5DAD">
        <w:rPr>
          <w:rFonts w:ascii="Arial" w:hAnsi="Arial" w:cs="Arial"/>
        </w:rPr>
        <w:t>public sector investment including acquisit</w:t>
      </w:r>
      <w:r w:rsidRPr="000F5DAD">
        <w:rPr>
          <w:rFonts w:ascii="Arial" w:hAnsi="Arial" w:cs="Arial"/>
        </w:rPr>
        <w:t>ion of Blackpool Airport, phase 1 infrastructure works; fencing taxiway removal and drainage</w:t>
      </w:r>
      <w:r>
        <w:rPr>
          <w:rFonts w:ascii="Arial" w:hAnsi="Arial" w:cs="Arial"/>
        </w:rPr>
        <w:t xml:space="preserve">. Eight new private sector developments have been completed totalling 186,517 sq ft, including </w:t>
      </w:r>
      <w:r w:rsidRPr="000F5DAD">
        <w:rPr>
          <w:rFonts w:ascii="Arial" w:hAnsi="Arial" w:cs="Arial"/>
        </w:rPr>
        <w:t>Blackpool &amp; The Fylde</w:t>
      </w:r>
      <w:r>
        <w:rPr>
          <w:rFonts w:ascii="Arial" w:hAnsi="Arial" w:cs="Arial"/>
        </w:rPr>
        <w:t xml:space="preserve"> College’s Lancashire Energy HQ, a 32,000 sq ft</w:t>
      </w:r>
      <w:r w:rsidRPr="000F5DAD">
        <w:rPr>
          <w:rFonts w:ascii="Arial" w:hAnsi="Arial" w:cs="Arial"/>
        </w:rPr>
        <w:t xml:space="preserve"> </w:t>
      </w:r>
      <w:r w:rsidRPr="000F5DAD">
        <w:rPr>
          <w:rFonts w:ascii="Arial" w:hAnsi="Arial" w:cs="Arial"/>
        </w:rPr>
        <w:t xml:space="preserve">flagship training centre for technical and professional education for the energy </w:t>
      </w:r>
      <w:r>
        <w:rPr>
          <w:rFonts w:ascii="Arial" w:hAnsi="Arial" w:cs="Arial"/>
        </w:rPr>
        <w:t>sector</w:t>
      </w:r>
      <w:r w:rsidRPr="000F5DAD">
        <w:rPr>
          <w:rFonts w:ascii="Arial" w:hAnsi="Arial" w:cs="Arial"/>
        </w:rPr>
        <w:t xml:space="preserve">. </w:t>
      </w:r>
    </w:p>
    <w:p w:rsidR="00651704" w:rsidRDefault="00100BC9" w:rsidP="00997397">
      <w:pPr>
        <w:spacing w:after="0"/>
        <w:jc w:val="both"/>
        <w:rPr>
          <w:rFonts w:ascii="Arial" w:hAnsi="Arial" w:cs="Arial"/>
        </w:rPr>
      </w:pPr>
    </w:p>
    <w:p w:rsidR="007A1ABD" w:rsidRPr="000F5DAD" w:rsidRDefault="00100BC9" w:rsidP="00997397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>Blackpool Council (EZ accountable body) has approved up to £28.8m funding by prudential borrowing for development of Phase 1 Common Edge infrastructure. Phase 1 plan</w:t>
      </w:r>
      <w:r w:rsidRPr="000F5DAD">
        <w:rPr>
          <w:rFonts w:ascii="Arial" w:hAnsi="Arial" w:cs="Arial"/>
        </w:rPr>
        <w:t xml:space="preserve">ning application has been approved with commencement of 12 no grass sports pitches underway. Planning is secured for a speculative development 40,000 sq ft, supported by £800,000 Growth Deal Funding (subject to formal agreement) due to commence delivery </w:t>
      </w:r>
      <w:r w:rsidRPr="00165D7D">
        <w:rPr>
          <w:rFonts w:ascii="Arial" w:hAnsi="Arial" w:cs="Arial"/>
        </w:rPr>
        <w:t>Se</w:t>
      </w:r>
      <w:r w:rsidRPr="00165D7D">
        <w:rPr>
          <w:rFonts w:ascii="Arial" w:hAnsi="Arial" w:cs="Arial"/>
        </w:rPr>
        <w:t>ptember</w:t>
      </w:r>
      <w:r w:rsidRPr="000F5DAD">
        <w:rPr>
          <w:rFonts w:ascii="Arial" w:hAnsi="Arial" w:cs="Arial"/>
        </w:rPr>
        <w:t xml:space="preserve"> 2020.</w:t>
      </w:r>
      <w:r>
        <w:rPr>
          <w:rFonts w:ascii="Arial" w:hAnsi="Arial" w:cs="Arial"/>
        </w:rPr>
        <w:t xml:space="preserve"> </w:t>
      </w:r>
    </w:p>
    <w:p w:rsidR="00A123C7" w:rsidRPr="000F5DAD" w:rsidRDefault="00100BC9" w:rsidP="008D3DCC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3"/>
        <w:gridCol w:w="3687"/>
        <w:gridCol w:w="1699"/>
        <w:gridCol w:w="705"/>
      </w:tblGrid>
      <w:tr w:rsidR="006622D1" w:rsidTr="00A123C7">
        <w:tc>
          <w:tcPr>
            <w:tcW w:w="3543" w:type="dxa"/>
          </w:tcPr>
          <w:p w:rsidR="00A123C7" w:rsidRDefault="00100BC9" w:rsidP="00A12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Performance Indicators</w:t>
            </w:r>
          </w:p>
        </w:tc>
        <w:tc>
          <w:tcPr>
            <w:tcW w:w="3687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Targets </w:t>
            </w:r>
            <w:r w:rsidRPr="00651704">
              <w:rPr>
                <w:rFonts w:ascii="Arial" w:hAnsi="Arial" w:cs="Arial"/>
              </w:rPr>
              <w:t>(over 25 year life time of EZ to 2041)</w:t>
            </w:r>
          </w:p>
        </w:tc>
        <w:tc>
          <w:tcPr>
            <w:tcW w:w="1699" w:type="dxa"/>
          </w:tcPr>
          <w:p w:rsidR="00A123C7" w:rsidRDefault="00100BC9" w:rsidP="00A12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Actuals to Qtr. 4 19/20</w:t>
            </w:r>
          </w:p>
        </w:tc>
        <w:tc>
          <w:tcPr>
            <w:tcW w:w="705" w:type="dxa"/>
          </w:tcPr>
          <w:p w:rsidR="00A123C7" w:rsidRDefault="00100BC9" w:rsidP="00A123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6622D1" w:rsidTr="00A123C7">
        <w:tc>
          <w:tcPr>
            <w:tcW w:w="3543" w:type="dxa"/>
          </w:tcPr>
          <w:p w:rsidR="00A123C7" w:rsidRPr="00651704" w:rsidRDefault="00100BC9" w:rsidP="00A123C7">
            <w:pPr>
              <w:rPr>
                <w:rFonts w:ascii="Arial" w:hAnsi="Arial" w:cs="Arial"/>
              </w:rPr>
            </w:pPr>
            <w:r w:rsidRPr="00651704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>,</w:t>
            </w:r>
            <w:r w:rsidRPr="00651704">
              <w:rPr>
                <w:rFonts w:ascii="Arial" w:hAnsi="Arial" w:cs="Arial"/>
              </w:rPr>
              <w:t xml:space="preserve"> convert or re-purpose </w:t>
            </w:r>
            <w:r>
              <w:rPr>
                <w:rFonts w:ascii="Arial" w:hAnsi="Arial" w:cs="Arial"/>
              </w:rPr>
              <w:t xml:space="preserve">potential employment space </w:t>
            </w:r>
          </w:p>
        </w:tc>
        <w:tc>
          <w:tcPr>
            <w:tcW w:w="3687" w:type="dxa"/>
          </w:tcPr>
          <w:p w:rsidR="00A123C7" w:rsidRPr="00651704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260,000 sqm</w:t>
            </w:r>
          </w:p>
        </w:tc>
        <w:tc>
          <w:tcPr>
            <w:tcW w:w="1699" w:type="dxa"/>
          </w:tcPr>
          <w:p w:rsidR="00A123C7" w:rsidRPr="00651704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14,550.10 sqm </w:t>
            </w:r>
          </w:p>
        </w:tc>
        <w:tc>
          <w:tcPr>
            <w:tcW w:w="705" w:type="dxa"/>
            <w:shd w:val="clear" w:color="auto" w:fill="92D050"/>
          </w:tcPr>
          <w:p w:rsidR="00A123C7" w:rsidRDefault="00100BC9" w:rsidP="00A123C7">
            <w:pPr>
              <w:rPr>
                <w:rFonts w:ascii="Arial" w:hAnsi="Arial" w:cs="Arial"/>
              </w:rPr>
            </w:pPr>
          </w:p>
        </w:tc>
      </w:tr>
      <w:tr w:rsidR="006622D1" w:rsidTr="00A123C7">
        <w:tc>
          <w:tcPr>
            <w:tcW w:w="3543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Attract Private Sector Investment</w:t>
            </w:r>
          </w:p>
        </w:tc>
        <w:tc>
          <w:tcPr>
            <w:tcW w:w="3687" w:type="dxa"/>
          </w:tcPr>
          <w:p w:rsidR="00A123C7" w:rsidRPr="00651704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£300m</w:t>
            </w:r>
          </w:p>
        </w:tc>
        <w:tc>
          <w:tcPr>
            <w:tcW w:w="1699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c.£21.69m</w:t>
            </w:r>
          </w:p>
        </w:tc>
        <w:tc>
          <w:tcPr>
            <w:tcW w:w="705" w:type="dxa"/>
            <w:shd w:val="clear" w:color="auto" w:fill="92D050"/>
          </w:tcPr>
          <w:p w:rsidR="00A123C7" w:rsidRDefault="00100BC9" w:rsidP="00A123C7">
            <w:pPr>
              <w:rPr>
                <w:rFonts w:ascii="Arial" w:hAnsi="Arial" w:cs="Arial"/>
              </w:rPr>
            </w:pPr>
          </w:p>
        </w:tc>
      </w:tr>
      <w:tr w:rsidR="006622D1" w:rsidTr="00A123C7">
        <w:tc>
          <w:tcPr>
            <w:tcW w:w="3543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Jobs created</w:t>
            </w:r>
          </w:p>
        </w:tc>
        <w:tc>
          <w:tcPr>
            <w:tcW w:w="3687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699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 (gross)</w:t>
            </w:r>
          </w:p>
        </w:tc>
        <w:tc>
          <w:tcPr>
            <w:tcW w:w="705" w:type="dxa"/>
            <w:shd w:val="clear" w:color="auto" w:fill="92D050"/>
          </w:tcPr>
          <w:p w:rsidR="00A123C7" w:rsidRDefault="00100BC9" w:rsidP="00A123C7">
            <w:pPr>
              <w:rPr>
                <w:rFonts w:ascii="Arial" w:hAnsi="Arial" w:cs="Arial"/>
              </w:rPr>
            </w:pPr>
          </w:p>
        </w:tc>
      </w:tr>
      <w:tr w:rsidR="006622D1" w:rsidTr="00A123C7">
        <w:tc>
          <w:tcPr>
            <w:tcW w:w="3543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Businesses to the area</w:t>
            </w:r>
          </w:p>
        </w:tc>
        <w:tc>
          <w:tcPr>
            <w:tcW w:w="3687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699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 </w:t>
            </w:r>
          </w:p>
        </w:tc>
        <w:tc>
          <w:tcPr>
            <w:tcW w:w="705" w:type="dxa"/>
            <w:shd w:val="clear" w:color="auto" w:fill="92D050"/>
          </w:tcPr>
          <w:p w:rsidR="00A123C7" w:rsidRDefault="00100BC9" w:rsidP="00A123C7">
            <w:pPr>
              <w:rPr>
                <w:rFonts w:ascii="Arial" w:hAnsi="Arial" w:cs="Arial"/>
              </w:rPr>
            </w:pPr>
          </w:p>
        </w:tc>
      </w:tr>
      <w:tr w:rsidR="006622D1" w:rsidTr="00A123C7">
        <w:tc>
          <w:tcPr>
            <w:tcW w:w="3543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£x new infrastructure</w:t>
            </w:r>
          </w:p>
        </w:tc>
        <w:tc>
          <w:tcPr>
            <w:tcW w:w="3687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£70m</w:t>
            </w:r>
          </w:p>
        </w:tc>
        <w:tc>
          <w:tcPr>
            <w:tcW w:w="1699" w:type="dxa"/>
          </w:tcPr>
          <w:p w:rsidR="00A123C7" w:rsidRDefault="00100BC9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£28.8m * </w:t>
            </w:r>
          </w:p>
        </w:tc>
        <w:tc>
          <w:tcPr>
            <w:tcW w:w="705" w:type="dxa"/>
            <w:shd w:val="clear" w:color="auto" w:fill="92D050"/>
          </w:tcPr>
          <w:p w:rsidR="00A123C7" w:rsidRDefault="00100BC9" w:rsidP="00A123C7">
            <w:pPr>
              <w:rPr>
                <w:rFonts w:ascii="Arial" w:hAnsi="Arial" w:cs="Arial"/>
              </w:rPr>
            </w:pPr>
          </w:p>
        </w:tc>
      </w:tr>
    </w:tbl>
    <w:p w:rsidR="00A123C7" w:rsidRPr="000F5DAD" w:rsidRDefault="00100BC9" w:rsidP="00A12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123C7">
        <w:rPr>
          <w:rFonts w:ascii="Arial" w:hAnsi="Arial" w:cs="Arial"/>
        </w:rPr>
        <w:t>prudentially borrowed for initial costs of new road and infrastructure, £375,000 on infrastructure, £400,000 on property acquisitions</w:t>
      </w:r>
      <w:r>
        <w:rPr>
          <w:rFonts w:ascii="Arial" w:hAnsi="Arial" w:cs="Arial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622D1" w:rsidTr="00172DE7">
        <w:tc>
          <w:tcPr>
            <w:tcW w:w="7366" w:type="dxa"/>
          </w:tcPr>
          <w:p w:rsidR="00773911" w:rsidRDefault="00100BC9" w:rsidP="005840AC">
            <w:pPr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  <w:b/>
              </w:rPr>
              <w:t>Milestones</w:t>
            </w:r>
          </w:p>
          <w:p w:rsidR="00651704" w:rsidRPr="000F5DAD" w:rsidRDefault="00100BC9" w:rsidP="005840A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73911" w:rsidRPr="000F5DAD" w:rsidRDefault="00100BC9" w:rsidP="005840AC">
            <w:pPr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  <w:b/>
              </w:rPr>
              <w:t>Dates</w:t>
            </w:r>
          </w:p>
        </w:tc>
      </w:tr>
      <w:tr w:rsidR="006622D1" w:rsidTr="00172DE7">
        <w:tc>
          <w:tcPr>
            <w:tcW w:w="7366" w:type="dxa"/>
          </w:tcPr>
          <w:p w:rsidR="00E61160" w:rsidRPr="000F5DAD" w:rsidRDefault="00100BC9" w:rsidP="00E61160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>Grass f</w:t>
            </w:r>
            <w:r>
              <w:rPr>
                <w:rFonts w:ascii="Arial" w:hAnsi="Arial" w:cs="Arial"/>
              </w:rPr>
              <w:t>ootball pitch contract commenced</w:t>
            </w:r>
            <w:r w:rsidRPr="000F5DAD">
              <w:rPr>
                <w:rFonts w:ascii="Arial" w:hAnsi="Arial" w:cs="Arial"/>
              </w:rPr>
              <w:t xml:space="preserve">  (£700,000)</w:t>
            </w:r>
          </w:p>
        </w:tc>
        <w:tc>
          <w:tcPr>
            <w:tcW w:w="2268" w:type="dxa"/>
          </w:tcPr>
          <w:p w:rsidR="00E61160" w:rsidRPr="000F5DAD" w:rsidRDefault="00100BC9" w:rsidP="00600510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>June 2020</w:t>
            </w:r>
          </w:p>
        </w:tc>
      </w:tr>
      <w:tr w:rsidR="006622D1" w:rsidTr="00172DE7">
        <w:tc>
          <w:tcPr>
            <w:tcW w:w="7366" w:type="dxa"/>
          </w:tcPr>
          <w:p w:rsidR="00E61160" w:rsidRPr="000F5DAD" w:rsidRDefault="00100BC9" w:rsidP="000F5DAD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Detailed design Common Edge Changing room and 3G pitches </w:t>
            </w:r>
          </w:p>
        </w:tc>
        <w:tc>
          <w:tcPr>
            <w:tcW w:w="2268" w:type="dxa"/>
          </w:tcPr>
          <w:p w:rsidR="00E61160" w:rsidRPr="00EB49B6" w:rsidRDefault="00100BC9" w:rsidP="00600510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Sept 2020</w:t>
            </w:r>
          </w:p>
        </w:tc>
      </w:tr>
      <w:tr w:rsidR="006622D1" w:rsidTr="00172DE7">
        <w:tc>
          <w:tcPr>
            <w:tcW w:w="7366" w:type="dxa"/>
          </w:tcPr>
          <w:p w:rsidR="00575844" w:rsidRPr="000F5DAD" w:rsidRDefault="00100BC9" w:rsidP="00600510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40,000 sqft spec devt start on site </w:t>
            </w:r>
          </w:p>
        </w:tc>
        <w:tc>
          <w:tcPr>
            <w:tcW w:w="2268" w:type="dxa"/>
          </w:tcPr>
          <w:p w:rsidR="00575844" w:rsidRPr="00EB49B6" w:rsidRDefault="00100BC9" w:rsidP="00600510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Sept  2020</w:t>
            </w:r>
          </w:p>
        </w:tc>
      </w:tr>
      <w:tr w:rsidR="006622D1" w:rsidTr="00172DE7">
        <w:tc>
          <w:tcPr>
            <w:tcW w:w="7366" w:type="dxa"/>
          </w:tcPr>
          <w:p w:rsidR="00773911" w:rsidRPr="000F5DAD" w:rsidRDefault="00100BC9" w:rsidP="00A61809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Aqua Comms landing, connection made </w:t>
            </w:r>
            <w:r>
              <w:rPr>
                <w:rFonts w:ascii="Arial" w:hAnsi="Arial" w:cs="Arial"/>
              </w:rPr>
              <w:t xml:space="preserve">on land </w:t>
            </w:r>
            <w:r w:rsidRPr="000F5D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773911" w:rsidRPr="00EB49B6" w:rsidRDefault="00100BC9" w:rsidP="005840AC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 xml:space="preserve">Late Sept </w:t>
            </w:r>
            <w:r w:rsidRPr="00EB49B6">
              <w:rPr>
                <w:rFonts w:ascii="Arial" w:hAnsi="Arial" w:cs="Arial"/>
              </w:rPr>
              <w:t>2020</w:t>
            </w:r>
          </w:p>
        </w:tc>
      </w:tr>
      <w:tr w:rsidR="006622D1" w:rsidTr="00172DE7">
        <w:tc>
          <w:tcPr>
            <w:tcW w:w="7366" w:type="dxa"/>
          </w:tcPr>
          <w:p w:rsidR="006477F9" w:rsidRPr="000F5DAD" w:rsidRDefault="00100BC9" w:rsidP="00997397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>Planning submitted for next stage Phase 1 devt</w:t>
            </w:r>
          </w:p>
        </w:tc>
        <w:tc>
          <w:tcPr>
            <w:tcW w:w="2268" w:type="dxa"/>
          </w:tcPr>
          <w:p w:rsidR="006477F9" w:rsidRPr="00EB49B6" w:rsidRDefault="00100BC9" w:rsidP="005840AC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Sept 2020</w:t>
            </w:r>
          </w:p>
        </w:tc>
      </w:tr>
      <w:tr w:rsidR="006622D1" w:rsidTr="00172DE7">
        <w:trPr>
          <w:trHeight w:val="71"/>
        </w:trPr>
        <w:tc>
          <w:tcPr>
            <w:tcW w:w="7366" w:type="dxa"/>
          </w:tcPr>
          <w:p w:rsidR="00575844" w:rsidRPr="000F5DAD" w:rsidRDefault="00100BC9" w:rsidP="005840AC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Private sector new build complete </w:t>
            </w:r>
          </w:p>
        </w:tc>
        <w:tc>
          <w:tcPr>
            <w:tcW w:w="2268" w:type="dxa"/>
          </w:tcPr>
          <w:p w:rsidR="00575844" w:rsidRPr="00EB49B6" w:rsidRDefault="00100BC9" w:rsidP="005840AC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August 2020</w:t>
            </w:r>
          </w:p>
        </w:tc>
      </w:tr>
      <w:tr w:rsidR="006622D1" w:rsidTr="00172DE7">
        <w:trPr>
          <w:trHeight w:val="71"/>
        </w:trPr>
        <w:tc>
          <w:tcPr>
            <w:tcW w:w="7366" w:type="dxa"/>
          </w:tcPr>
          <w:p w:rsidR="006477F9" w:rsidRPr="000F5DAD" w:rsidRDefault="00100BC9" w:rsidP="005840AC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>Architectural feasibility study design work for airport complete</w:t>
            </w:r>
          </w:p>
        </w:tc>
        <w:tc>
          <w:tcPr>
            <w:tcW w:w="2268" w:type="dxa"/>
          </w:tcPr>
          <w:p w:rsidR="006477F9" w:rsidRPr="00EB49B6" w:rsidRDefault="00100BC9" w:rsidP="005840AC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 xml:space="preserve">Sept 2020 </w:t>
            </w:r>
          </w:p>
        </w:tc>
      </w:tr>
      <w:tr w:rsidR="006622D1" w:rsidTr="00172DE7">
        <w:trPr>
          <w:trHeight w:val="71"/>
        </w:trPr>
        <w:tc>
          <w:tcPr>
            <w:tcW w:w="7366" w:type="dxa"/>
          </w:tcPr>
          <w:p w:rsidR="00575844" w:rsidRPr="000F5DAD" w:rsidRDefault="00100BC9" w:rsidP="005840AC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Land / property acquisitions x 2 </w:t>
            </w:r>
          </w:p>
        </w:tc>
        <w:tc>
          <w:tcPr>
            <w:tcW w:w="2268" w:type="dxa"/>
          </w:tcPr>
          <w:p w:rsidR="00575844" w:rsidRPr="00EB49B6" w:rsidRDefault="00100BC9" w:rsidP="00575844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Q3 2021</w:t>
            </w:r>
          </w:p>
        </w:tc>
      </w:tr>
      <w:tr w:rsidR="006622D1" w:rsidTr="00172DE7">
        <w:trPr>
          <w:trHeight w:val="71"/>
        </w:trPr>
        <w:tc>
          <w:tcPr>
            <w:tcW w:w="7366" w:type="dxa"/>
          </w:tcPr>
          <w:p w:rsidR="006477F9" w:rsidRPr="000F5DAD" w:rsidRDefault="00100BC9" w:rsidP="00997397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>20mw gas fired</w:t>
            </w:r>
            <w:r w:rsidRPr="000F5DAD">
              <w:rPr>
                <w:rFonts w:ascii="Arial" w:hAnsi="Arial" w:cs="Arial"/>
              </w:rPr>
              <w:t xml:space="preserve"> generator planning granted</w:t>
            </w:r>
          </w:p>
        </w:tc>
        <w:tc>
          <w:tcPr>
            <w:tcW w:w="2268" w:type="dxa"/>
          </w:tcPr>
          <w:p w:rsidR="006477F9" w:rsidRPr="00EB49B6" w:rsidRDefault="00100BC9" w:rsidP="00575844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Sept 2020</w:t>
            </w:r>
          </w:p>
        </w:tc>
      </w:tr>
      <w:tr w:rsidR="006622D1" w:rsidTr="00172DE7">
        <w:trPr>
          <w:trHeight w:val="71"/>
        </w:trPr>
        <w:tc>
          <w:tcPr>
            <w:tcW w:w="7366" w:type="dxa"/>
          </w:tcPr>
          <w:p w:rsidR="006477F9" w:rsidRPr="000F5DAD" w:rsidRDefault="00100BC9" w:rsidP="005840AC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Appoint international marketing agents LAMEC brand </w:t>
            </w:r>
          </w:p>
        </w:tc>
        <w:tc>
          <w:tcPr>
            <w:tcW w:w="2268" w:type="dxa"/>
          </w:tcPr>
          <w:p w:rsidR="006477F9" w:rsidRPr="00EB49B6" w:rsidRDefault="00100BC9" w:rsidP="00575844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Jan 2021</w:t>
            </w:r>
          </w:p>
        </w:tc>
      </w:tr>
      <w:tr w:rsidR="006622D1" w:rsidTr="00172DE7">
        <w:trPr>
          <w:trHeight w:val="71"/>
        </w:trPr>
        <w:tc>
          <w:tcPr>
            <w:tcW w:w="7366" w:type="dxa"/>
          </w:tcPr>
          <w:p w:rsidR="006477F9" w:rsidRPr="000F5DAD" w:rsidRDefault="00100BC9" w:rsidP="006477F9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Fiscal benefit extension proposal to HM Treasury </w:t>
            </w:r>
          </w:p>
        </w:tc>
        <w:tc>
          <w:tcPr>
            <w:tcW w:w="2268" w:type="dxa"/>
          </w:tcPr>
          <w:p w:rsidR="006477F9" w:rsidRPr="00EB49B6" w:rsidRDefault="00100BC9" w:rsidP="00997397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Sept 2020</w:t>
            </w:r>
          </w:p>
        </w:tc>
      </w:tr>
      <w:tr w:rsidR="006622D1" w:rsidTr="00172DE7">
        <w:trPr>
          <w:trHeight w:val="71"/>
        </w:trPr>
        <w:tc>
          <w:tcPr>
            <w:tcW w:w="7366" w:type="dxa"/>
          </w:tcPr>
          <w:p w:rsidR="00997397" w:rsidRPr="000F5DAD" w:rsidRDefault="00100BC9" w:rsidP="006477F9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Revised masterplan/Delivery Plan to be considered by Accountable body  </w:t>
            </w:r>
          </w:p>
        </w:tc>
        <w:tc>
          <w:tcPr>
            <w:tcW w:w="2268" w:type="dxa"/>
          </w:tcPr>
          <w:p w:rsidR="00997397" w:rsidRPr="00EB49B6" w:rsidRDefault="00100BC9" w:rsidP="00575844">
            <w:pPr>
              <w:rPr>
                <w:rFonts w:ascii="Arial" w:hAnsi="Arial" w:cs="Arial"/>
              </w:rPr>
            </w:pPr>
            <w:r w:rsidRPr="00EB49B6">
              <w:rPr>
                <w:rFonts w:ascii="Arial" w:hAnsi="Arial" w:cs="Arial"/>
              </w:rPr>
              <w:t>Sept 2020</w:t>
            </w:r>
          </w:p>
        </w:tc>
      </w:tr>
    </w:tbl>
    <w:p w:rsidR="00997397" w:rsidRPr="000F5DAD" w:rsidRDefault="00100BC9" w:rsidP="00172DE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1"/>
      </w:tblGrid>
      <w:tr w:rsidR="006622D1" w:rsidTr="001E0900">
        <w:tc>
          <w:tcPr>
            <w:tcW w:w="5098" w:type="dxa"/>
          </w:tcPr>
          <w:p w:rsidR="004255EE" w:rsidRDefault="00100BC9" w:rsidP="00172DE7">
            <w:pPr>
              <w:jc w:val="both"/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  <w:b/>
              </w:rPr>
              <w:t xml:space="preserve">Risk and Issues </w:t>
            </w:r>
          </w:p>
        </w:tc>
        <w:tc>
          <w:tcPr>
            <w:tcW w:w="4531" w:type="dxa"/>
          </w:tcPr>
          <w:p w:rsidR="004255EE" w:rsidRDefault="00100BC9" w:rsidP="00172D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Mitigation and Actions</w:t>
            </w:r>
          </w:p>
        </w:tc>
      </w:tr>
      <w:tr w:rsidR="006622D1" w:rsidTr="001E0900">
        <w:tc>
          <w:tcPr>
            <w:tcW w:w="5098" w:type="dxa"/>
          </w:tcPr>
          <w:p w:rsidR="004255EE" w:rsidRPr="000F5DAD" w:rsidRDefault="00100BC9" w:rsidP="001E0900">
            <w:pPr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</w:rPr>
              <w:t>Slight delays to construction due to Covid-19 working restrictions</w:t>
            </w:r>
          </w:p>
        </w:tc>
        <w:tc>
          <w:tcPr>
            <w:tcW w:w="4531" w:type="dxa"/>
          </w:tcPr>
          <w:p w:rsidR="004255EE" w:rsidRPr="004255EE" w:rsidRDefault="00100BC9" w:rsidP="001E0900">
            <w:pPr>
              <w:rPr>
                <w:rFonts w:ascii="Arial" w:hAnsi="Arial" w:cs="Arial"/>
              </w:rPr>
            </w:pPr>
            <w:r w:rsidRPr="004255EE">
              <w:rPr>
                <w:rFonts w:ascii="Arial" w:hAnsi="Arial" w:cs="Arial"/>
              </w:rPr>
              <w:t>Safety guidelines in place and work continuing</w:t>
            </w:r>
            <w:r>
              <w:rPr>
                <w:rFonts w:ascii="Arial" w:hAnsi="Arial" w:cs="Arial"/>
              </w:rPr>
              <w:t xml:space="preserve">. Progressing fiscal benefits extension proposals to government </w:t>
            </w:r>
            <w:r w:rsidRPr="004255EE">
              <w:rPr>
                <w:rFonts w:ascii="Arial" w:hAnsi="Arial" w:cs="Arial"/>
              </w:rPr>
              <w:t xml:space="preserve"> </w:t>
            </w:r>
          </w:p>
        </w:tc>
      </w:tr>
      <w:tr w:rsidR="006622D1" w:rsidTr="001E0900">
        <w:tc>
          <w:tcPr>
            <w:tcW w:w="5098" w:type="dxa"/>
          </w:tcPr>
          <w:p w:rsidR="004255EE" w:rsidRPr="000F5DAD" w:rsidRDefault="00100BC9" w:rsidP="001E0900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After short period of uncertainty, property </w:t>
            </w:r>
            <w:r w:rsidRPr="00651704">
              <w:rPr>
                <w:rFonts w:ascii="Arial" w:hAnsi="Arial" w:cs="Arial"/>
              </w:rPr>
              <w:t xml:space="preserve">enquiries are returning but </w:t>
            </w:r>
            <w:r w:rsidRPr="000F5DAD">
              <w:rPr>
                <w:rFonts w:ascii="Arial" w:hAnsi="Arial" w:cs="Arial"/>
              </w:rPr>
              <w:t>overall lack of market demand due to Covid-19/Brexit uncertainty and the commercial viability of development.</w:t>
            </w:r>
          </w:p>
        </w:tc>
        <w:tc>
          <w:tcPr>
            <w:tcW w:w="4531" w:type="dxa"/>
          </w:tcPr>
          <w:p w:rsidR="004255EE" w:rsidRPr="004255EE" w:rsidRDefault="00100BC9" w:rsidP="001E0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marketing strategy defined and implementation underway </w:t>
            </w:r>
          </w:p>
        </w:tc>
      </w:tr>
      <w:tr w:rsidR="006622D1" w:rsidTr="001E0900">
        <w:tc>
          <w:tcPr>
            <w:tcW w:w="5098" w:type="dxa"/>
          </w:tcPr>
          <w:p w:rsidR="004255EE" w:rsidRPr="000F5DAD" w:rsidRDefault="00100BC9" w:rsidP="001E0900">
            <w:pPr>
              <w:contextualSpacing/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>The airport</w:t>
            </w:r>
            <w:r w:rsidRPr="000F5DAD">
              <w:rPr>
                <w:rFonts w:ascii="Arial" w:hAnsi="Arial" w:cs="Arial"/>
              </w:rPr>
              <w:t xml:space="preserve"> has experienced a negative impact of Covid-19 however impact not as greatly felt as other larger regional airports and has remained open (observing restrictions) throughout pandemic. </w:t>
            </w:r>
          </w:p>
        </w:tc>
        <w:tc>
          <w:tcPr>
            <w:tcW w:w="4531" w:type="dxa"/>
          </w:tcPr>
          <w:p w:rsidR="004255EE" w:rsidRPr="004255EE" w:rsidRDefault="00100BC9" w:rsidP="001E0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 of marketing plan, website and social media. Progressing archit</w:t>
            </w:r>
            <w:r>
              <w:rPr>
                <w:rFonts w:ascii="Arial" w:hAnsi="Arial" w:cs="Arial"/>
              </w:rPr>
              <w:t xml:space="preserve">ect’s designs for new hangarage and remodelling for new commercial opportunities.  </w:t>
            </w:r>
          </w:p>
        </w:tc>
      </w:tr>
    </w:tbl>
    <w:p w:rsidR="00CB3078" w:rsidRPr="00103E56" w:rsidRDefault="00100BC9" w:rsidP="00A123C7">
      <w:pPr>
        <w:jc w:val="both"/>
        <w:rPr>
          <w:rFonts w:cstheme="minorHAnsi"/>
        </w:rPr>
      </w:pPr>
    </w:p>
    <w:sectPr w:rsidR="00CB3078" w:rsidRPr="00103E56" w:rsidSect="005E6646">
      <w:pgSz w:w="11906" w:h="16838"/>
      <w:pgMar w:top="709" w:right="991" w:bottom="709" w:left="1276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485"/>
    <w:multiLevelType w:val="hybridMultilevel"/>
    <w:tmpl w:val="0ECC22FE"/>
    <w:lvl w:ilvl="0" w:tplc="961A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2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69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E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A3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61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05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6F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AD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3A6CB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AC61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0EFB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CC75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E498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CA22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A03F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E46F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ECD1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B328F"/>
    <w:multiLevelType w:val="hybridMultilevel"/>
    <w:tmpl w:val="FDC2ADEC"/>
    <w:lvl w:ilvl="0" w:tplc="5D144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E3AE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C1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4F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8F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26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8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E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A1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15E7"/>
    <w:multiLevelType w:val="hybridMultilevel"/>
    <w:tmpl w:val="DEA01E40"/>
    <w:lvl w:ilvl="0" w:tplc="1DF6D4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ECF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0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02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AA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E5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0F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8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0B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539"/>
    <w:multiLevelType w:val="hybridMultilevel"/>
    <w:tmpl w:val="F72CDD86"/>
    <w:lvl w:ilvl="0" w:tplc="8A7AE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0B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45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B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E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8E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0C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1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AD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0C9B"/>
    <w:multiLevelType w:val="hybridMultilevel"/>
    <w:tmpl w:val="B532CAB4"/>
    <w:lvl w:ilvl="0" w:tplc="A1F26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A1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0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86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2BB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A4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00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C18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47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473B"/>
    <w:multiLevelType w:val="hybridMultilevel"/>
    <w:tmpl w:val="C8C0E762"/>
    <w:lvl w:ilvl="0" w:tplc="BC92B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AE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EF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89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6F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6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E1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A5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03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F31C2"/>
    <w:multiLevelType w:val="hybridMultilevel"/>
    <w:tmpl w:val="4FEA306C"/>
    <w:lvl w:ilvl="0" w:tplc="AE568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6A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46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5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E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4B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2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6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C7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67FF"/>
    <w:multiLevelType w:val="hybridMultilevel"/>
    <w:tmpl w:val="E2F0B7DA"/>
    <w:lvl w:ilvl="0" w:tplc="18C0D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64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E1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6E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A4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24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05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C9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2F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D1"/>
    <w:rsid w:val="00100BC9"/>
    <w:rsid w:val="006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9262"/>
  <w15:docId w15:val="{C66E94C2-2A3B-45A8-BBFA-8762E296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0" ma:contentTypeDescription="Create a new document." ma:contentTypeScope="" ma:versionID="f452cf34500bdba23fc0bcaf3ea0e3ba">
  <xsd:schema xmlns:xsd="http://www.w3.org/2001/XMLSchema" xmlns:xs="http://www.w3.org/2001/XMLSchema" xmlns:p="http://schemas.microsoft.com/office/2006/metadata/properties" xmlns:ns3="130c9b05-ae92-4b30-8076-4799496fc388" targetNamespace="http://schemas.microsoft.com/office/2006/metadata/properties" ma:root="true" ma:fieldsID="bd54c3c4c9f740d84d7a2dd01360aef7" ns3:_="">
    <xsd:import namespace="130c9b05-ae92-4b30-8076-4799496fc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6799-CDB4-4F5E-A6C8-67CEF5DCB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CE6BA-D1AB-4716-8A43-EC4719752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EC8C5-7006-4BB0-BF53-37BCB9A399C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0c9b05-ae92-4b30-8076-4799496fc38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C13DF4-129D-4B1E-AA4C-AA2FA59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Milroy, Andy</cp:lastModifiedBy>
  <cp:revision>7</cp:revision>
  <dcterms:created xsi:type="dcterms:W3CDTF">2020-08-24T13:01:00Z</dcterms:created>
  <dcterms:modified xsi:type="dcterms:W3CDTF">2020-09-23T11:36:00Z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